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500"/>
      </w:pPr>
    </w:p>
    <w:p>
      <w:pPr>
        <w:pStyle w:val="Title"/>
        <w:jc w:val="center"/>
      </w:pPr>
      <w:r>
        <w:rPr>
          <w:b/>
          <w:bCs/>
        </w:rPr>
        <w:t xml:space="preserve">Q1产品规划素材</w:t>
      </w:r>
    </w:p>
    <w:p>
      <w:pPr>
        <w:pStyle w:val="Subtitle"/>
        <w:jc w:val="center"/>
      </w:pPr>
      <w:r>
        <w:t xml:space="preserve">2026年第一季度产品规划与路线图</w:t>
      </w:r>
    </w:p>
    <w:p>
      <w:pPr>
        <w:jc w:val="center"/>
      </w:pPr>
      <w:r>
        <w:t xml:space="preserve">产品规划部 | 2026年1月</w:t>
      </w:r>
    </w:p>
    <w:p>
      <w:pPr>
        <w:sectPr>
          <w:headerReference w:type="default" r:id="rId6"/>
          <w:footerReference w:type="default" r:id="rId7"/>
          <w:pgSz w:w="11906" w:h="16838" w:orient="portrait"/>
          <w:pgMar w:top="1440" w:right="1440" w:bottom="1440" w:left="1440" w:header="708" w:footer="708" w:gutter="0"/>
          <w:pgNumType/>
          <w:titlePg/>
          <w:docGrid w:linePitch="360"/>
        </w:sectPr>
      </w:pPr>
    </w:p>
    <w:p>
      <w:pPr>
        <w:pStyle w:val="Heading2"/>
      </w:pPr>
      <w:bookmarkStart w:name="toc-anchor-0" w:id="1"/>
      <w:r>
        <w:t xml:space="preserve">一、Q1规划总览</w:t>
      </w:r>
      <w:bookmarkEnd w:id="1"/>
    </w:p>
    <w:p>
      <w:r>
        <w:t xml:space="preserve">2026年Q1是产品年度迭代的关键启动季度，本季度聚焦三大核心方向：用户体验升级、核心功能增强与生态能力拓展。通过数据驱动的决策机制，确保资源投入与战略目标高度对齐，为全年产品竞争力奠定基础。</w:t>
      </w:r>
    </w:p>
    <w:p>
      <w:pPr>
        <w:pStyle w:val="Heading3"/>
      </w:pPr>
      <w:bookmarkStart w:name="toc-anchor-1" w:id="2"/>
      <w:r>
        <w:t xml:space="preserve">1.1 核心目标</w:t>
      </w:r>
      <w:bookmarkEnd w:id="2"/>
    </w:p>
    <w:p>
      <w:pPr>
        <w:pStyle w:val="ListParagraph"/>
        <w:numPr>
          <w:ilvl w:val="0"/>
          <w:numId w:val="2"/>
        </w:numPr>
      </w:pPr>
      <w:r>
        <w:t xml:space="preserve">用户满意度提升至90分以上（当前85分）</w:t>
      </w:r>
    </w:p>
    <w:p>
      <w:pPr>
        <w:pStyle w:val="ListParagraph"/>
        <w:numPr>
          <w:ilvl w:val="0"/>
          <w:numId w:val="2"/>
        </w:numPr>
      </w:pPr>
      <w:r>
        <w:t xml:space="preserve">核心功能NPS净推荐值达到+40</w:t>
      </w:r>
    </w:p>
    <w:p>
      <w:pPr>
        <w:pStyle w:val="ListParagraph"/>
        <w:numPr>
          <w:ilvl w:val="0"/>
          <w:numId w:val="2"/>
        </w:numPr>
      </w:pPr>
      <w:r>
        <w:t xml:space="preserve">新功能上线准时率达到95%</w:t>
      </w:r>
    </w:p>
    <w:p>
      <w:pPr>
        <w:pStyle w:val="ListParagraph"/>
        <w:numPr>
          <w:ilvl w:val="0"/>
          <w:numId w:val="2"/>
        </w:numPr>
      </w:pPr>
      <w:r>
        <w:t xml:space="preserve">技术债务减少30%</w:t>
      </w:r>
    </w:p>
    <w:p>
      <w:pPr>
        <w:pStyle w:val="Heading3"/>
      </w:pPr>
      <w:bookmarkStart w:name="toc-anchor-2" w:id="3"/>
      <w:r>
        <w:t xml:space="preserve">1.2 关键里程碑</w:t>
      </w:r>
      <w:bookmarkEnd w:id="3"/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里程碑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计划时间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负责人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状态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需求评审完成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1月15日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产品组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进行中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设计稿交付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1月31日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设计组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待启动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开发冲刺启动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2月10日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研发组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待启动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内测发布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3月10日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测试组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待启动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正式上线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3月25日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全员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待启动</w:t>
            </w:r>
          </w:p>
        </w:tc>
      </w:tr>
    </w:tbl>
    <w:p>
      <w:r>
        <w:r>
          <w:br w:type="page"/>
        </w:r>
      </w:r>
    </w:p>
    <w:p>
      <w:pPr>
        <w:pStyle w:val="Heading2"/>
      </w:pPr>
      <w:bookmarkStart w:name="toc-anchor-3" w:id="4"/>
      <w:r>
        <w:t xml:space="preserve">二、用户体验升级</w:t>
      </w:r>
      <w:bookmarkEnd w:id="4"/>
    </w:p>
    <w:p>
      <w:r>
        <w:t xml:space="preserve">基于2025年Q4用户调研数据，Q1将重点优化交互流程与视觉体验，解决用户反馈最集中的痛点问题。</w:t>
      </w:r>
    </w:p>
    <w:p>
      <w:pPr>
        <w:pStyle w:val="Heading3"/>
      </w:pPr>
      <w:bookmarkStart w:name="toc-anchor-4" w:id="5"/>
      <w:r>
        <w:t xml:space="preserve">2.1 交互优化</w:t>
      </w:r>
      <w:bookmarkEnd w:id="5"/>
    </w:p>
    <w:p>
      <w:pPr>
        <w:pStyle w:val="ListParagraph"/>
        <w:numPr>
          <w:ilvl w:val="0"/>
          <w:numId w:val="2"/>
        </w:numPr>
      </w:pPr>
      <w:r>
        <w:t xml:space="preserve">首页信息架构重构：减少层级深度，核心操作路径缩短至3步以内</w:t>
      </w:r>
    </w:p>
    <w:p>
      <w:pPr>
        <w:pStyle w:val="ListParagraph"/>
        <w:numPr>
          <w:ilvl w:val="0"/>
          <w:numId w:val="2"/>
        </w:numPr>
      </w:pPr>
      <w:r>
        <w:t xml:space="preserve">搜索体验升级：支持模糊匹配、搜索建议、历史记录联动</w:t>
      </w:r>
    </w:p>
    <w:p>
      <w:pPr>
        <w:pStyle w:val="ListParagraph"/>
        <w:numPr>
          <w:ilvl w:val="0"/>
          <w:numId w:val="2"/>
        </w:numPr>
      </w:pPr>
      <w:r>
        <w:t xml:space="preserve">表单流程精简：合并冗余步骤，引入智能预填与自动校验</w:t>
      </w:r>
    </w:p>
    <w:p>
      <w:pPr>
        <w:pStyle w:val="ListParagraph"/>
        <w:numPr>
          <w:ilvl w:val="0"/>
          <w:numId w:val="2"/>
        </w:numPr>
      </w:pPr>
      <w:r>
        <w:t xml:space="preserve">响应速度优化：首屏加载时间从2.8s降至1.5s以内</w:t>
      </w:r>
    </w:p>
    <w:p>
      <w:pPr>
        <w:pStyle w:val="Heading3"/>
      </w:pPr>
      <w:bookmarkStart w:name="toc-anchor-5" w:id="6"/>
      <w:r>
        <w:t xml:space="preserve">2.2 视觉升级</w:t>
      </w:r>
      <w:bookmarkEnd w:id="6"/>
    </w:p>
    <w:p>
      <w:pPr>
        <w:pStyle w:val="ListParagraph"/>
        <w:numPr>
          <w:ilvl w:val="0"/>
          <w:numId w:val="2"/>
        </w:numPr>
      </w:pPr>
      <w:r>
        <w:t xml:space="preserve">全新设计语言落地：统一色彩体系、图标规范与间距节奏</w:t>
      </w:r>
    </w:p>
    <w:p>
      <w:pPr>
        <w:pStyle w:val="ListParagraph"/>
        <w:numPr>
          <w:ilvl w:val="0"/>
          <w:numId w:val="2"/>
        </w:numPr>
      </w:pPr>
      <w:r>
        <w:t xml:space="preserve">深色模式支持：覆盖全部核心页面，适配OLED屏幕</w:t>
      </w:r>
    </w:p>
    <w:p>
      <w:pPr>
        <w:pStyle w:val="ListParagraph"/>
        <w:numPr>
          <w:ilvl w:val="0"/>
          <w:numId w:val="2"/>
        </w:numPr>
      </w:pPr>
      <w:r>
        <w:t xml:space="preserve">动效体系建立：定义转场、反馈、引导三类动效规范</w:t>
      </w:r>
    </w:p>
    <w:p>
      <w:pPr>
        <w:pStyle w:val="ListParagraph"/>
        <w:numPr>
          <w:ilvl w:val="0"/>
          <w:numId w:val="2"/>
        </w:numPr>
      </w:pPr>
      <w:r>
        <w:t xml:space="preserve">无障碍适配：通过WCAG 2.1 AA级认证</w:t>
      </w:r>
    </w:p>
    <w:p>
      <w:r>
        <w:r>
          <w:br w:type="page"/>
        </w:r>
      </w:r>
    </w:p>
    <w:p>
      <w:pPr>
        <w:pStyle w:val="Heading2"/>
      </w:pPr>
      <w:bookmarkStart w:name="toc-anchor-6" w:id="7"/>
      <w:r>
        <w:t xml:space="preserve">三、核心功能增强</w:t>
      </w:r>
      <w:bookmarkEnd w:id="7"/>
    </w:p>
    <w:p>
      <w:r>
        <w:t xml:space="preserve">围绕核心业务场景，Q1将对三大功能模块进行深度增强，提升产品在关键场景下的竞争力与用户粘性。</w:t>
      </w:r>
    </w:p>
    <w:p>
      <w:pPr>
        <w:pStyle w:val="Heading3"/>
      </w:pPr>
      <w:bookmarkStart w:name="toc-anchor-7" w:id="8"/>
      <w:r>
        <w:t xml:space="preserve">3.1 智能推荐引擎升级</w:t>
      </w:r>
      <w:bookmarkEnd w:id="8"/>
    </w:p>
    <w:p>
      <w:r>
        <w:t xml:space="preserve">引入多模态特征融合算法，将用户行为序列、内容语义特征与社交关系图谱进行联合建模，预期推荐点击率提升25%，用户停留时长增加15%。</w:t>
      </w:r>
    </w:p>
    <w:p>
      <w:pPr>
        <w:pStyle w:val="ListParagraph"/>
        <w:numPr>
          <w:ilvl w:val="0"/>
          <w:numId w:val="2"/>
        </w:numPr>
      </w:pPr>
      <w:r>
        <w:t xml:space="preserve">算法升级：从协同过滤迁移至深度学习排序模型</w:t>
      </w:r>
    </w:p>
    <w:p>
      <w:pPr>
        <w:pStyle w:val="ListParagraph"/>
        <w:numPr>
          <w:ilvl w:val="0"/>
          <w:numId w:val="2"/>
        </w:numPr>
      </w:pPr>
      <w:r>
        <w:t xml:space="preserve">特征工程：新增实时特征管道，特征维度从120扩展至300+</w:t>
      </w:r>
    </w:p>
    <w:p>
      <w:pPr>
        <w:pStyle w:val="ListParagraph"/>
        <w:numPr>
          <w:ilvl w:val="0"/>
          <w:numId w:val="2"/>
        </w:numPr>
      </w:pPr>
      <w:r>
        <w:t xml:space="preserve">A/B测试框架：支持多臂老虎机自动分流与统计显著性检验</w:t>
      </w:r>
    </w:p>
    <w:p>
      <w:pPr>
        <w:pStyle w:val="ListParagraph"/>
        <w:numPr>
          <w:ilvl w:val="0"/>
          <w:numId w:val="2"/>
        </w:numPr>
      </w:pPr>
      <w:r>
        <w:t xml:space="preserve">冷启动优化：新用户5次交互内完成兴趣画像构建</w:t>
      </w:r>
    </w:p>
    <w:p>
      <w:pPr>
        <w:pStyle w:val="Heading3"/>
      </w:pPr>
      <w:bookmarkStart w:name="toc-anchor-8" w:id="9"/>
      <w:r>
        <w:t xml:space="preserve">3.2 协作功能增强</w:t>
      </w:r>
      <w:bookmarkEnd w:id="9"/>
    </w:p>
    <w:p>
      <w:r>
        <w:t xml:space="preserve">针对团队协作场景，新增实时协同编辑、评论批注与任务联动能力，提升多人协作效率。</w:t>
      </w:r>
    </w:p>
    <w:p>
      <w:pPr>
        <w:pStyle w:val="ListParagraph"/>
        <w:numPr>
          <w:ilvl w:val="0"/>
          <w:numId w:val="2"/>
        </w:numPr>
      </w:pPr>
      <w:r>
        <w:t xml:space="preserve">实时协同编辑：基于CRDT算法，支持50人同时在线编辑</w:t>
      </w:r>
    </w:p>
    <w:p>
      <w:pPr>
        <w:pStyle w:val="ListParagraph"/>
        <w:numPr>
          <w:ilvl w:val="0"/>
          <w:numId w:val="2"/>
        </w:numPr>
      </w:pPr>
      <w:r>
        <w:t xml:space="preserve">评论与批注：支持行内评论、@提及、评论线程与状态追踪</w:t>
      </w:r>
    </w:p>
    <w:p>
      <w:pPr>
        <w:pStyle w:val="ListParagraph"/>
        <w:numPr>
          <w:ilvl w:val="0"/>
          <w:numId w:val="2"/>
        </w:numPr>
      </w:pPr>
      <w:r>
        <w:t xml:space="preserve">任务联动：评论可直接创建任务，任务状态变更自动同步评论</w:t>
      </w:r>
    </w:p>
    <w:p>
      <w:pPr>
        <w:pStyle w:val="ListParagraph"/>
        <w:numPr>
          <w:ilvl w:val="0"/>
          <w:numId w:val="2"/>
        </w:numPr>
      </w:pPr>
      <w:r>
        <w:t xml:space="preserve">权限精细化：支持字段级、区域级权限控制</w:t>
      </w:r>
    </w:p>
    <w:p>
      <w:pPr>
        <w:pStyle w:val="Heading3"/>
      </w:pPr>
      <w:bookmarkStart w:name="toc-anchor-9" w:id="10"/>
      <w:r>
        <w:t xml:space="preserve">3.3 数据分析能力</w:t>
      </w:r>
      <w:bookmarkEnd w:id="10"/>
    </w:p>
    <w:p>
      <w:r>
        <w:t xml:space="preserve">增强内置数据分析模块，支持自助式数据探索与可视化报表生成，降低业务人员的数据获取门槛。</w:t>
      </w:r>
    </w:p>
    <w:p>
      <w:pPr>
        <w:pStyle w:val="ListParagraph"/>
        <w:numPr>
          <w:ilvl w:val="0"/>
          <w:numId w:val="2"/>
        </w:numPr>
      </w:pPr>
      <w:r>
        <w:t xml:space="preserve">自助查询：自然语言转SQL，支持常用分析模式一键生成</w:t>
      </w:r>
    </w:p>
    <w:p>
      <w:pPr>
        <w:pStyle w:val="ListParagraph"/>
        <w:numPr>
          <w:ilvl w:val="0"/>
          <w:numId w:val="2"/>
        </w:numPr>
      </w:pPr>
      <w:r>
        <w:t xml:space="preserve">可视化报表：20+图表类型，支持拖拽式报表搭建</w:t>
      </w:r>
    </w:p>
    <w:p>
      <w:pPr>
        <w:pStyle w:val="ListParagraph"/>
        <w:numPr>
          <w:ilvl w:val="0"/>
          <w:numId w:val="2"/>
        </w:numPr>
      </w:pPr>
      <w:r>
        <w:t xml:space="preserve">数据看板：可配置实时看板，支持指标预警与订阅推送</w:t>
      </w:r>
    </w:p>
    <w:p>
      <w:pPr>
        <w:pStyle w:val="ListParagraph"/>
        <w:numPr>
          <w:ilvl w:val="0"/>
          <w:numId w:val="2"/>
        </w:numPr>
      </w:pPr>
      <w:r>
        <w:t xml:space="preserve">数据导出：支持Excel、PDF、CSV多格式导出</w:t>
      </w:r>
    </w:p>
    <w:p>
      <w:r>
        <w:r>
          <w:br w:type="page"/>
        </w:r>
      </w:r>
    </w:p>
    <w:p>
      <w:pPr>
        <w:pStyle w:val="Heading2"/>
      </w:pPr>
      <w:bookmarkStart w:name="toc-anchor-10" w:id="11"/>
      <w:r>
        <w:t xml:space="preserve">四、生态能力拓展</w:t>
      </w:r>
      <w:bookmarkEnd w:id="11"/>
    </w:p>
    <w:p>
      <w:r>
        <w:t xml:space="preserve">Q1将开放平台核心能力，构建开发者生态，通过插件机制与开放API实现产品能力的乘数效应。</w:t>
      </w:r>
    </w:p>
    <w:p>
      <w:pPr>
        <w:pStyle w:val="Heading3"/>
      </w:pPr>
      <w:bookmarkStart w:name="toc-anchor-11" w:id="12"/>
      <w:r>
        <w:t xml:space="preserve">4.1 开放平台</w:t>
      </w:r>
      <w:bookmarkEnd w:id="12"/>
    </w:p>
    <w:p>
      <w:pPr>
        <w:pStyle w:val="ListParagraph"/>
        <w:numPr>
          <w:ilvl w:val="0"/>
          <w:numId w:val="2"/>
        </w:numPr>
      </w:pPr>
      <w:r>
        <w:t xml:space="preserve">API网关上线：提供RESTful API 50+，覆盖核心业务场景</w:t>
      </w:r>
    </w:p>
    <w:p>
      <w:pPr>
        <w:pStyle w:val="ListParagraph"/>
        <w:numPr>
          <w:ilvl w:val="0"/>
          <w:numId w:val="2"/>
        </w:numPr>
      </w:pPr>
      <w:r>
        <w:t xml:space="preserve">开发者门户：文档、SDK、沙箱环境一站式提供</w:t>
      </w:r>
    </w:p>
    <w:p>
      <w:pPr>
        <w:pStyle w:val="ListParagraph"/>
        <w:numPr>
          <w:ilvl w:val="0"/>
          <w:numId w:val="2"/>
        </w:numPr>
      </w:pPr>
      <w:r>
        <w:t xml:space="preserve">OAuth2.0授权：支持第三方应用安全接入</w:t>
      </w:r>
    </w:p>
    <w:p>
      <w:pPr>
        <w:pStyle w:val="ListParagraph"/>
        <w:numPr>
          <w:ilvl w:val="0"/>
          <w:numId w:val="2"/>
        </w:numPr>
      </w:pPr>
      <w:r>
        <w:t xml:space="preserve">用量管控：API调用配额与计费机制</w:t>
      </w:r>
    </w:p>
    <w:p>
      <w:pPr>
        <w:pStyle w:val="Heading3"/>
      </w:pPr>
      <w:bookmarkStart w:name="toc-anchor-12" w:id="13"/>
      <w:r>
        <w:t xml:space="preserve">4.2 插件生态</w:t>
      </w:r>
      <w:bookmarkEnd w:id="13"/>
    </w:p>
    <w:p>
      <w:pPr>
        <w:pStyle w:val="ListParagraph"/>
        <w:numPr>
          <w:ilvl w:val="0"/>
          <w:numId w:val="2"/>
        </w:numPr>
      </w:pPr>
      <w:r>
        <w:t xml:space="preserve">插件框架发布：定义标准插件接口与生命周期</w:t>
      </w:r>
    </w:p>
    <w:p>
      <w:pPr>
        <w:pStyle w:val="ListParagraph"/>
        <w:numPr>
          <w:ilvl w:val="0"/>
          <w:numId w:val="2"/>
        </w:numPr>
      </w:pPr>
      <w:r>
        <w:t xml:space="preserve">插件市场上线：支持插件搜索、安装、更新与评价</w:t>
      </w:r>
    </w:p>
    <w:p>
      <w:pPr>
        <w:pStyle w:val="ListParagraph"/>
        <w:numPr>
          <w:ilvl w:val="0"/>
          <w:numId w:val="2"/>
        </w:numPr>
      </w:pPr>
      <w:r>
        <w:t xml:space="preserve">首批官方插件：导出增强、数据源对接、流程自动化3款</w:t>
      </w:r>
    </w:p>
    <w:p>
      <w:pPr>
        <w:pStyle w:val="ListParagraph"/>
        <w:numPr>
          <w:ilvl w:val="0"/>
          <w:numId w:val="2"/>
        </w:numPr>
      </w:pPr>
      <w:r>
        <w:t xml:space="preserve">安全沙箱：插件运行隔离，防止恶意代码影响主进程</w:t>
      </w:r>
    </w:p>
    <w:p>
      <w:r>
        <w:r>
          <w:br w:type="page"/>
        </w:r>
      </w:r>
    </w:p>
    <w:p>
      <w:pPr>
        <w:pStyle w:val="Heading2"/>
      </w:pPr>
      <w:bookmarkStart w:name="toc-anchor-13" w:id="14"/>
      <w:r>
        <w:t xml:space="preserve">五、技术架构规划</w:t>
      </w:r>
      <w:bookmarkEnd w:id="14"/>
    </w:p>
    <w:p>
      <w:r>
        <w:t xml:space="preserve">为支撑业务快速发展，Q1同步推进技术架构的现代化升级，确保系统在高并发、大数据量场景下的稳定性与可扩展性。</w:t>
      </w:r>
    </w:p>
    <w:p>
      <w:pPr>
        <w:pStyle w:val="Heading3"/>
      </w:pPr>
      <w:bookmarkStart w:name="toc-anchor-14" w:id="15"/>
      <w:r>
        <w:t xml:space="preserve">5.1 架构升级</w:t>
      </w:r>
      <w:bookmarkEnd w:id="15"/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领域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当前方案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目标方案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预期收益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前端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单体SPA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微前端+模块联邦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独立部署，构建提速60%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后端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单体服务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领域驱动微服务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故障隔离，独立伸缩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数据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MySQL主从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MySQL+ClickHouse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分析查询提速10x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缓存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Redis单节点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Redis Cluster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容量扩展4x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消息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无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Kafka集群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异步解耦，削峰填谷</w:t>
            </w:r>
          </w:p>
        </w:tc>
      </w:tr>
    </w:tbl>
    <w:p>
      <w:pPr>
        <w:pStyle w:val="Heading3"/>
      </w:pPr>
      <w:bookmarkStart w:name="toc-anchor-15" w:id="16"/>
      <w:r>
        <w:t xml:space="preserve">5.2 质量保障</w:t>
      </w:r>
      <w:bookmarkEnd w:id="16"/>
    </w:p>
    <w:p>
      <w:pPr>
        <w:pStyle w:val="ListParagraph"/>
        <w:numPr>
          <w:ilvl w:val="0"/>
          <w:numId w:val="2"/>
        </w:numPr>
      </w:pPr>
      <w:r>
        <w:t xml:space="preserve">自动化测试覆盖率从45%提升至75%</w:t>
      </w:r>
    </w:p>
    <w:p>
      <w:pPr>
        <w:pStyle w:val="ListParagraph"/>
        <w:numPr>
          <w:ilvl w:val="0"/>
          <w:numId w:val="2"/>
        </w:numPr>
      </w:pPr>
      <w:r>
        <w:t xml:space="preserve">引入契约测试，保障微服务间接口兼容性</w:t>
      </w:r>
    </w:p>
    <w:p>
      <w:pPr>
        <w:pStyle w:val="ListParagraph"/>
        <w:numPr>
          <w:ilvl w:val="0"/>
          <w:numId w:val="2"/>
        </w:numPr>
      </w:pPr>
      <w:r>
        <w:t xml:space="preserve">性能基线建立：核心接口P99延迟≤200ms</w:t>
      </w:r>
    </w:p>
    <w:p>
      <w:pPr>
        <w:pStyle w:val="ListParagraph"/>
        <w:numPr>
          <w:ilvl w:val="0"/>
          <w:numId w:val="2"/>
        </w:numPr>
      </w:pPr>
      <w:r>
        <w:t xml:space="preserve">安全扫描集成：SAST+DAST纳入CI流水线</w:t>
      </w:r>
    </w:p>
    <w:p>
      <w:pPr>
        <w:pStyle w:val="ListParagraph"/>
        <w:numPr>
          <w:ilvl w:val="0"/>
          <w:numId w:val="2"/>
        </w:numPr>
      </w:pPr>
      <w:r>
        <w:t xml:space="preserve">混沌工程：每月执行1次故障注入演练</w:t>
      </w:r>
    </w:p>
    <w:p>
      <w:r>
        <w:r>
          <w:br w:type="page"/>
        </w:r>
      </w:r>
    </w:p>
    <w:p>
      <w:pPr>
        <w:pStyle w:val="Heading2"/>
      </w:pPr>
      <w:bookmarkStart w:name="toc-anchor-16" w:id="17"/>
      <w:r>
        <w:t xml:space="preserve">六、资源与预算</w:t>
      </w:r>
      <w:bookmarkEnd w:id="17"/>
    </w:p>
    <w:p>
      <w:pPr>
        <w:pStyle w:val="Heading3"/>
      </w:pPr>
      <w:bookmarkStart w:name="toc-anchor-17" w:id="18"/>
      <w:r>
        <w:t xml:space="preserve">6.1 团队配置</w:t>
      </w:r>
      <w:bookmarkEnd w:id="18"/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团队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Q1人数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主要职责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产品组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6人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需求分析、原型设计、验收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设计组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4人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交互设计、视觉设计、动效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前端组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8人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Web/移动端开发、性能优化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后端组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10人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服务开发、架构升级、数据管道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测试组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5人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功能测试、自动化、性能测试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运维组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3人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基础设施、CI/CD、监控</w:t>
            </w:r>
          </w:p>
        </w:tc>
      </w:tr>
    </w:tbl>
    <w:p>
      <w:pPr>
        <w:pStyle w:val="Heading3"/>
      </w:pPr>
      <w:bookmarkStart w:name="toc-anchor-18" w:id="19"/>
      <w:r>
        <w:t xml:space="preserve">6.2 预算概览</w:t>
      </w:r>
      <w:bookmarkEnd w:id="19"/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类别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预算（万元）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占比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人力成本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280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56%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云资源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80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16%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第三方服务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50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10%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工具与许可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8%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市场推广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6%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应急储备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20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4%</w:t>
            </w:r>
          </w:p>
        </w:tc>
      </w:tr>
      <w:tr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合计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500</w:t>
            </w:r>
          </w:p>
        </w:tc>
        <w:tc>
          <w:tcPr>
            <w:tcW w:type="dxa" w:w="312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100%</w:t>
            </w:r>
          </w:p>
        </w:tc>
      </w:tr>
    </w:tbl>
    <w:p>
      <w:r>
        <w:r>
          <w:br w:type="page"/>
        </w:r>
      </w:r>
    </w:p>
    <w:p>
      <w:pPr>
        <w:pStyle w:val="Heading2"/>
      </w:pPr>
      <w:bookmarkStart w:name="toc-anchor-19" w:id="20"/>
      <w:r>
        <w:t xml:space="preserve">七、风险与应对</w:t>
      </w:r>
      <w:bookmarkEnd w:id="20"/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风险项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概率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影响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应对策略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需求变更频繁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高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中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建立需求冻结机制，变更走CR流程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技术方案延期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中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高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设置技术预研冲刺，提前验证关键方案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人员流动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中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中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核心岗位AB角配置，知识文档化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第三方服务不稳定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低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高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9E2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设计降级方案，核心链路去外部依赖</w:t>
            </w:r>
          </w:p>
        </w:tc>
      </w:tr>
      <w:tr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安全合规风险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低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高</w:t>
            </w:r>
          </w:p>
        </w:tc>
        <w:tc>
          <w:tcPr>
            <w:tcW w:type="dxa" w:w="234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安全左移，定期渗透测试与合规审计</w:t>
            </w:r>
          </w:p>
        </w:tc>
      </w:tr>
    </w:tbl>
    <w:p>
      <w:pPr>
        <w:pStyle w:val="Heading2"/>
      </w:pPr>
      <w:bookmarkStart w:name="toc-anchor-20" w:id="21"/>
      <w:r>
        <w:t xml:space="preserve">八、Q1 OKR</w:t>
      </w:r>
      <w:bookmarkEnd w:id="21"/>
    </w:p>
    <w:p>
      <w:pPr>
        <w:pStyle w:val="Heading3"/>
      </w:pPr>
      <w:bookmarkStart w:name="toc-anchor-21" w:id="22"/>
      <w:r>
        <w:t xml:space="preserve">O1：提升产品用户体验与满意度</w:t>
      </w:r>
      <w:bookmarkEnd w:id="22"/>
    </w:p>
    <w:p>
      <w:pPr>
        <w:pStyle w:val="ListParagraph"/>
        <w:numPr>
          <w:ilvl w:val="0"/>
          <w:numId w:val="2"/>
        </w:numPr>
      </w:pPr>
      <w:r>
        <w:t xml:space="preserve">KR1：用户满意度评分从85分提升至90分</w:t>
      </w:r>
    </w:p>
    <w:p>
      <w:pPr>
        <w:pStyle w:val="ListParagraph"/>
        <w:numPr>
          <w:ilvl w:val="0"/>
          <w:numId w:val="2"/>
        </w:numPr>
      </w:pPr>
      <w:r>
        <w:t xml:space="preserve">KR2：核心操作路径缩短至3步以内</w:t>
      </w:r>
    </w:p>
    <w:p>
      <w:pPr>
        <w:pStyle w:val="ListParagraph"/>
        <w:numPr>
          <w:ilvl w:val="0"/>
          <w:numId w:val="2"/>
        </w:numPr>
      </w:pPr>
      <w:r>
        <w:t xml:space="preserve">KR3：首屏加载时间降至1.5s以内</w:t>
      </w:r>
    </w:p>
    <w:p>
      <w:pPr>
        <w:pStyle w:val="ListParagraph"/>
        <w:numPr>
          <w:ilvl w:val="0"/>
          <w:numId w:val="2"/>
        </w:numPr>
      </w:pPr>
      <w:r>
        <w:t xml:space="preserve">KR4：深色模式覆盖率达100%核心页面</w:t>
      </w:r>
    </w:p>
    <w:p>
      <w:pPr>
        <w:pStyle w:val="Heading3"/>
      </w:pPr>
      <w:bookmarkStart w:name="toc-anchor-22" w:id="23"/>
      <w:r>
        <w:t xml:space="preserve">O2：增强核心功能竞争力</w:t>
      </w:r>
      <w:bookmarkEnd w:id="23"/>
    </w:p>
    <w:p>
      <w:pPr>
        <w:pStyle w:val="ListParagraph"/>
        <w:numPr>
          <w:ilvl w:val="0"/>
          <w:numId w:val="2"/>
        </w:numPr>
      </w:pPr>
      <w:r>
        <w:t xml:space="preserve">KR1：推荐点击率提升25%</w:t>
      </w:r>
    </w:p>
    <w:p>
      <w:pPr>
        <w:pStyle w:val="ListParagraph"/>
        <w:numPr>
          <w:ilvl w:val="0"/>
          <w:numId w:val="2"/>
        </w:numPr>
      </w:pPr>
      <w:r>
        <w:t xml:space="preserve">KR2：协同编辑支持50人同时在线</w:t>
      </w:r>
    </w:p>
    <w:p>
      <w:pPr>
        <w:pStyle w:val="ListParagraph"/>
        <w:numPr>
          <w:ilvl w:val="0"/>
          <w:numId w:val="2"/>
        </w:numPr>
      </w:pPr>
      <w:r>
        <w:t xml:space="preserve">KR3：自助分析功能月活用户达5万</w:t>
      </w:r>
    </w:p>
    <w:p>
      <w:pPr>
        <w:pStyle w:val="ListParagraph"/>
        <w:numPr>
          <w:ilvl w:val="0"/>
          <w:numId w:val="2"/>
        </w:numPr>
      </w:pPr>
      <w:r>
        <w:t xml:space="preserve">KR4：新功能上线准时率95%</w:t>
      </w:r>
    </w:p>
    <w:p>
      <w:pPr>
        <w:pStyle w:val="Heading3"/>
      </w:pPr>
      <w:bookmarkStart w:name="toc-anchor-23" w:id="24"/>
      <w:r>
        <w:t xml:space="preserve">O3：构建开放生态</w:t>
      </w:r>
      <w:bookmarkEnd w:id="24"/>
    </w:p>
    <w:p>
      <w:pPr>
        <w:pStyle w:val="ListParagraph"/>
        <w:numPr>
          <w:ilvl w:val="0"/>
          <w:numId w:val="2"/>
        </w:numPr>
      </w:pPr>
      <w:r>
        <w:t xml:space="preserve">KR1：开放API 50+上线</w:t>
      </w:r>
    </w:p>
    <w:p>
      <w:pPr>
        <w:pStyle w:val="ListParagraph"/>
        <w:numPr>
          <w:ilvl w:val="0"/>
          <w:numId w:val="2"/>
        </w:numPr>
      </w:pPr>
      <w:r>
        <w:t xml:space="preserve">KR2：插件市场上线并引入10+第三方插件</w:t>
      </w:r>
    </w:p>
    <w:p>
      <w:pPr>
        <w:pStyle w:val="ListParagraph"/>
        <w:numPr>
          <w:ilvl w:val="0"/>
          <w:numId w:val="2"/>
        </w:numPr>
      </w:pPr>
      <w:r>
        <w:t xml:space="preserve">KR3：开发者注册数达1000+</w:t>
      </w:r>
    </w:p>
    <w:p>
      <w:pPr>
        <w:pStyle w:val="ListParagraph"/>
        <w:numPr>
          <w:ilvl w:val="0"/>
          <w:numId w:val="2"/>
        </w:numPr>
      </w:pPr>
      <w:r>
        <w:t xml:space="preserve">KR4：生态合作伙伴签约5家</w:t>
      </w:r>
    </w:p>
    <w:sectPr>
      <w:footerReference w:type="default" r:id="rId8"/>
      <w:pgSz w:w="11906" w:h="16838" w:orient="portrait"/>
      <w:pgMar w:top="1440" w:right="1440" w:bottom="1440" w:left="1440" w:header="708" w:footer="708" w:gutter="0"/>
      <w:pgNumType w:start="1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t xml:space="preserv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 w:after="0"/>
      <w:jc w:val="center"/>
    </w:pP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eastAsia="微软雅黑" w:hAnsi="Calibri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480" w:after="300"/>
      <w:outlineLvl w:val="0"/>
    </w:pPr>
    <w:rPr>
      <w:b/>
      <w:bCs/>
      <w:color w:val="1F4E79"/>
      <w:sz w:val="44"/>
      <w:szCs w:val="44"/>
      <w:rFonts w:ascii="Calibri Light" w:eastAsia="微软雅黑" w:hAnsi="Calibri Light"/>
    </w:rPr>
  </w:style>
  <w:style w:type="paragraph" w:styleId="Heading2">
    <w:name w:val="Heading 2"/>
    <w:basedOn w:val="Normal"/>
    <w:next w:val="Normal"/>
    <w:qFormat/>
    <w:pPr>
      <w:spacing w:before="480" w:after="240"/>
      <w:outlineLvl w:val="1"/>
    </w:pPr>
    <w:rPr>
      <w:b/>
      <w:bCs/>
      <w:color w:val="2E75B6"/>
      <w:sz w:val="36"/>
      <w:szCs w:val="36"/>
      <w:rFonts w:ascii="Calibri Light" w:eastAsia="微软雅黑" w:hAnsi="Calibri Light"/>
    </w:rPr>
  </w:style>
  <w:style w:type="paragraph" w:styleId="Heading3">
    <w:name w:val="Heading 3"/>
    <w:basedOn w:val="Normal"/>
    <w:next w:val="Normal"/>
    <w:qFormat/>
    <w:pPr>
      <w:spacing w:before="360" w:after="180"/>
      <w:outlineLvl w:val="2"/>
    </w:pPr>
    <w:rPr>
      <w:b/>
      <w:bCs/>
      <w:sz w:val="28"/>
      <w:szCs w:val="28"/>
      <w:rFonts w:ascii="Calibri Light" w:eastAsia="微软雅黑" w:hAnsi="Calibri Light"/>
    </w:rPr>
  </w:style>
  <w:style w:type="paragraph" w:styleId="Heading4">
    <w:name w:val="Heading 4"/>
    <w:basedOn w:val="Normal"/>
    <w:next w:val="Normal"/>
    <w:qFormat/>
    <w:pPr>
      <w:spacing w:before="200" w:after="100"/>
      <w:outlineLvl w:val="3"/>
    </w:pPr>
    <w:rPr>
      <w:b/>
      <w:bCs/>
      <w:sz w:val="28"/>
      <w:szCs w:val="28"/>
      <w:rFonts w:ascii="Calibri Light" w:eastAsia="微软雅黑" w:hAnsi="Calibri Light"/>
    </w:rPr>
  </w:style>
  <w:style w:type="paragraph" w:styleId="Heading5">
    <w:name w:val="Heading 5"/>
    <w:basedOn w:val="Normal"/>
    <w:next w:val="Normal"/>
    <w:qFormat/>
    <w:pPr>
      <w:spacing w:before="160" w:after="80"/>
      <w:outlineLvl w:val="4"/>
    </w:pPr>
    <w:rPr>
      <w:b/>
      <w:bCs/>
      <w:sz w:val="24"/>
      <w:szCs w:val="24"/>
      <w:rFonts w:ascii="Calibri Light" w:eastAsia="微软雅黑" w:hAnsi="Calibri Light"/>
    </w:rPr>
  </w:style>
  <w:style w:type="paragraph" w:styleId="Heading6">
    <w:name w:val="Heading 6"/>
    <w:basedOn w:val="Normal"/>
    <w:next w:val="Normal"/>
    <w:qFormat/>
    <w:pPr>
      <w:spacing w:before="160" w:after="80"/>
      <w:outlineLvl w:val="5"/>
    </w:pPr>
    <w:rPr>
      <w:i/>
      <w:iCs/>
      <w:sz w:val="24"/>
      <w:szCs w:val="24"/>
      <w:rFonts w:ascii="Calibri Light" w:eastAsia="微软雅黑" w:hAnsi="Calibri Light"/>
    </w:rPr>
  </w:style>
  <w:style w:type="paragraph" w:styleId="Title">
    <w:name w:val="Title"/>
    <w:basedOn w:val="Normal"/>
    <w:next w:val="Normal"/>
    <w:qFormat/>
    <w:pPr>
      <w:spacing w:after="120"/>
      <w:jc w:val="center"/>
    </w:pPr>
    <w:rPr>
      <w:b/>
      <w:bCs/>
      <w:color w:val="1F4E79"/>
      <w:sz w:val="52"/>
      <w:szCs w:val="52"/>
      <w:rFonts w:ascii="Calibri Light" w:eastAsia="微软雅黑" w:hAnsi="Calibri Light"/>
    </w:rPr>
  </w:style>
  <w:style w:type="paragraph" w:styleId="Subtitle">
    <w:name w:val="Subtitle"/>
    <w:basedOn w:val="Normal"/>
    <w:next w:val="Normal"/>
    <w:qFormat/>
    <w:pPr>
      <w:spacing w:after="240"/>
      <w:jc w:val="center"/>
    </w:pPr>
    <w:rPr>
      <w:color w:val="666666"/>
      <w:sz w:val="26"/>
      <w:szCs w:val="26"/>
      <w:rFonts w:ascii="Calibri" w:cs="Calibri" w:eastAsia="Calibri" w:hAnsi="Calibri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Q1产品规划素材</dc:title>
  <dc:creator>产品规划部</dc:creator>
  <cp:lastModifiedBy>Un-named</cp:lastModifiedBy>
  <cp:revision>1</cp:revision>
  <dcterms:created xsi:type="dcterms:W3CDTF">2026-08-14T10:05:35.830Z</dcterms:created>
  <dcterms:modified xsi:type="dcterms:W3CDTF">2026-08-14T10:05:35.831Z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